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E69E" w14:textId="779CD4A4" w:rsidR="00835D58" w:rsidRPr="00835D58" w:rsidRDefault="00835D58" w:rsidP="00835D58">
      <w:pPr>
        <w:rPr>
          <w:rFonts w:ascii="Calibri" w:hAnsi="Calibri" w:cs="Calibri"/>
          <w:b/>
          <w:bCs/>
          <w:sz w:val="30"/>
          <w:szCs w:val="30"/>
        </w:rPr>
      </w:pPr>
      <w:r w:rsidRPr="00835D58">
        <w:rPr>
          <w:rFonts w:ascii="Calibri" w:hAnsi="Calibri" w:cs="Calibri"/>
          <w:b/>
          <w:bCs/>
          <w:sz w:val="30"/>
          <w:szCs w:val="30"/>
        </w:rPr>
        <w:t>Application Form Guidance</w:t>
      </w:r>
    </w:p>
    <w:p w14:paraId="4E6E0079" w14:textId="1DBC4E24" w:rsidR="00835D58" w:rsidRDefault="00835D58" w:rsidP="005969E0">
      <w:pPr>
        <w:pStyle w:val="ListParagraph"/>
        <w:numPr>
          <w:ilvl w:val="0"/>
          <w:numId w:val="1"/>
        </w:numPr>
        <w:rPr>
          <w:rFonts w:ascii="Calibri" w:hAnsi="Calibri" w:cs="Calibri"/>
          <w:sz w:val="22"/>
          <w:szCs w:val="22"/>
        </w:rPr>
      </w:pPr>
      <w:r w:rsidRPr="005969E0">
        <w:rPr>
          <w:rFonts w:ascii="Calibri" w:hAnsi="Calibri" w:cs="Calibri"/>
          <w:sz w:val="22"/>
          <w:szCs w:val="22"/>
        </w:rPr>
        <w:t xml:space="preserve">Applications for support </w:t>
      </w:r>
      <w:r w:rsidR="009738D1" w:rsidRPr="005969E0">
        <w:rPr>
          <w:rFonts w:ascii="Calibri" w:hAnsi="Calibri" w:cs="Calibri"/>
          <w:sz w:val="22"/>
          <w:szCs w:val="22"/>
        </w:rPr>
        <w:t xml:space="preserve">should ideally be </w:t>
      </w:r>
      <w:r w:rsidRPr="005969E0">
        <w:rPr>
          <w:rFonts w:ascii="Calibri" w:hAnsi="Calibri" w:cs="Calibri"/>
          <w:sz w:val="22"/>
          <w:szCs w:val="22"/>
        </w:rPr>
        <w:t>submitted at least nine months in advance of the date of the meeting.</w:t>
      </w:r>
      <w:r w:rsidR="009738D1" w:rsidRPr="005969E0">
        <w:rPr>
          <w:rFonts w:ascii="Calibri" w:hAnsi="Calibri" w:cs="Calibri"/>
          <w:sz w:val="22"/>
          <w:szCs w:val="22"/>
        </w:rPr>
        <w:t xml:space="preserve"> Later applications may still be considered, but will be given a lower priority, depending on the circumstances</w:t>
      </w:r>
      <w:r w:rsidR="005A237D">
        <w:rPr>
          <w:rFonts w:ascii="Calibri" w:hAnsi="Calibri" w:cs="Calibri"/>
          <w:sz w:val="22"/>
          <w:szCs w:val="22"/>
        </w:rPr>
        <w:t xml:space="preserve"> and the available budget</w:t>
      </w:r>
      <w:r w:rsidR="009738D1" w:rsidRPr="005969E0">
        <w:rPr>
          <w:rFonts w:ascii="Calibri" w:hAnsi="Calibri" w:cs="Calibri"/>
          <w:sz w:val="22"/>
          <w:szCs w:val="22"/>
        </w:rPr>
        <w:t>.</w:t>
      </w:r>
    </w:p>
    <w:p w14:paraId="4EE107CB" w14:textId="398F8CEC" w:rsidR="00257FC6" w:rsidRPr="005969E0" w:rsidRDefault="00257FC6" w:rsidP="005969E0">
      <w:pPr>
        <w:pStyle w:val="ListParagraph"/>
        <w:numPr>
          <w:ilvl w:val="0"/>
          <w:numId w:val="1"/>
        </w:numPr>
        <w:rPr>
          <w:rFonts w:ascii="Calibri" w:hAnsi="Calibri" w:cs="Calibri"/>
          <w:sz w:val="22"/>
          <w:szCs w:val="22"/>
        </w:rPr>
      </w:pPr>
      <w:r>
        <w:rPr>
          <w:rFonts w:ascii="Calibri" w:hAnsi="Calibri" w:cs="Calibri"/>
          <w:sz w:val="22"/>
          <w:szCs w:val="22"/>
        </w:rPr>
        <w:t>If the event belongs to a series, a report on the previous meeting must be attached to the application.</w:t>
      </w:r>
    </w:p>
    <w:p w14:paraId="6D1511F9" w14:textId="4DBE91A2" w:rsidR="00835D58" w:rsidRPr="005969E0" w:rsidRDefault="00835D58" w:rsidP="005969E0">
      <w:pPr>
        <w:pStyle w:val="ListParagraph"/>
        <w:numPr>
          <w:ilvl w:val="0"/>
          <w:numId w:val="1"/>
        </w:numPr>
        <w:rPr>
          <w:rFonts w:ascii="Calibri" w:hAnsi="Calibri" w:cs="Calibri"/>
          <w:sz w:val="22"/>
          <w:szCs w:val="22"/>
        </w:rPr>
      </w:pPr>
      <w:r w:rsidRPr="005969E0">
        <w:rPr>
          <w:rFonts w:ascii="Calibri" w:hAnsi="Calibri" w:cs="Calibri"/>
          <w:sz w:val="22"/>
          <w:szCs w:val="22"/>
        </w:rPr>
        <w:t>Requests from satellite meetings may be submitted, and possible financial support requested, separately or through the Organising Committee of the main meeting.</w:t>
      </w:r>
    </w:p>
    <w:p w14:paraId="5C5F6C80" w14:textId="03C354E7" w:rsidR="00835D58" w:rsidRPr="005969E0" w:rsidRDefault="00835D58" w:rsidP="005969E0">
      <w:pPr>
        <w:pStyle w:val="ListParagraph"/>
        <w:numPr>
          <w:ilvl w:val="0"/>
          <w:numId w:val="1"/>
        </w:numPr>
        <w:rPr>
          <w:rFonts w:ascii="Calibri" w:hAnsi="Calibri" w:cs="Calibri"/>
          <w:sz w:val="22"/>
          <w:szCs w:val="22"/>
        </w:rPr>
      </w:pPr>
      <w:r w:rsidRPr="005969E0">
        <w:rPr>
          <w:rFonts w:ascii="Calibri" w:hAnsi="Calibri" w:cs="Calibri"/>
          <w:sz w:val="22"/>
          <w:szCs w:val="22"/>
        </w:rPr>
        <w:t>Meetings (other than satellite meetings) scheduled to be held within one month before or after an IUCr Congress will not be considered for sponsorship. For any meetings scheduled to be held between one and two months before or after a Congress, the application for sponsorship requires the approval of the Chair of the Congress Programme Committee. For meetings (other than satellite meetings) scheduled to be held, in the respective region, within one month before or after a meeting of a Regional Associate (African Crystallographic Association, American Crystallographic Association, Asian Crystallographic Association, European Crystallographic Association, Latin-American Crystallographic Association), the applicants for sponsorship must seek the approval of the Chair of the Regional Associate Organizing Committee.</w:t>
      </w:r>
    </w:p>
    <w:p w14:paraId="53D24BD5" w14:textId="7611BF76" w:rsidR="00835D58" w:rsidRPr="005969E0" w:rsidRDefault="00835D58" w:rsidP="005969E0">
      <w:pPr>
        <w:pStyle w:val="ListParagraph"/>
        <w:numPr>
          <w:ilvl w:val="0"/>
          <w:numId w:val="1"/>
        </w:numPr>
        <w:rPr>
          <w:rFonts w:ascii="Calibri" w:hAnsi="Calibri" w:cs="Calibri"/>
          <w:sz w:val="22"/>
          <w:szCs w:val="22"/>
        </w:rPr>
      </w:pPr>
      <w:r w:rsidRPr="005969E0">
        <w:rPr>
          <w:rFonts w:ascii="Calibri" w:hAnsi="Calibri" w:cs="Calibri"/>
          <w:sz w:val="22"/>
          <w:szCs w:val="22"/>
        </w:rPr>
        <w:t>IUCr support can only be given to meetings that are international in character and open to participants from all countries. For international meetings the membership of the Programme Committee is a good indication of this. National meetings are only supported if held in developing countries.</w:t>
      </w:r>
    </w:p>
    <w:p w14:paraId="45B40258" w14:textId="733636F6" w:rsidR="00835D58" w:rsidRPr="005969E0" w:rsidRDefault="00835D58" w:rsidP="005969E0">
      <w:pPr>
        <w:pStyle w:val="ListParagraph"/>
        <w:numPr>
          <w:ilvl w:val="0"/>
          <w:numId w:val="1"/>
        </w:numPr>
        <w:rPr>
          <w:rFonts w:ascii="Calibri" w:hAnsi="Calibri" w:cs="Calibri"/>
          <w:sz w:val="22"/>
          <w:szCs w:val="22"/>
        </w:rPr>
      </w:pPr>
      <w:r w:rsidRPr="005969E0">
        <w:rPr>
          <w:rFonts w:ascii="Calibri" w:hAnsi="Calibri" w:cs="Calibri"/>
          <w:sz w:val="22"/>
          <w:szCs w:val="22"/>
        </w:rPr>
        <w:t>IUCr support should only be given to meetings that include a speaker policy and statistics relating to gender balance on the conference website. The policy should be consistent with the IUCr's policy on gender balance.</w:t>
      </w:r>
    </w:p>
    <w:p w14:paraId="25CACD40" w14:textId="657661A9" w:rsidR="00835D58" w:rsidRPr="005969E0" w:rsidRDefault="00835D58" w:rsidP="005969E0">
      <w:pPr>
        <w:pStyle w:val="ListParagraph"/>
        <w:numPr>
          <w:ilvl w:val="0"/>
          <w:numId w:val="1"/>
        </w:numPr>
        <w:rPr>
          <w:rFonts w:ascii="Calibri" w:hAnsi="Calibri" w:cs="Calibri"/>
          <w:sz w:val="22"/>
          <w:szCs w:val="22"/>
        </w:rPr>
      </w:pPr>
      <w:r w:rsidRPr="005969E0">
        <w:rPr>
          <w:rFonts w:ascii="Calibri" w:hAnsi="Calibri" w:cs="Calibri"/>
          <w:sz w:val="22"/>
          <w:szCs w:val="22"/>
        </w:rPr>
        <w:t>Active crystallographers should be involved in the organization of the conference and one or more sessions should deal with specific crystallographic topics. This does not automatically include any session on condensed matter physics, materials science or symmetry not related to crystallography. According to these criteria all meetings organized by IUCr Commissions automatically qualify.</w:t>
      </w:r>
    </w:p>
    <w:p w14:paraId="7030DD93" w14:textId="31E05A9C" w:rsidR="00835D58" w:rsidRPr="005969E0" w:rsidRDefault="00835D58" w:rsidP="005969E0">
      <w:pPr>
        <w:pStyle w:val="ListParagraph"/>
        <w:numPr>
          <w:ilvl w:val="0"/>
          <w:numId w:val="1"/>
        </w:numPr>
        <w:rPr>
          <w:rFonts w:ascii="Calibri" w:hAnsi="Calibri" w:cs="Calibri"/>
          <w:sz w:val="22"/>
          <w:szCs w:val="22"/>
        </w:rPr>
      </w:pPr>
      <w:r w:rsidRPr="005969E0">
        <w:rPr>
          <w:rFonts w:ascii="Calibri" w:hAnsi="Calibri" w:cs="Calibri"/>
          <w:sz w:val="22"/>
          <w:szCs w:val="22"/>
        </w:rPr>
        <w:t>The IUCr continues to support and uphold ISC's policy of non-discrimination and adheres to its decisions and procedures concerning free circulation of scientists. Organizers of any meeting seeking IUCr sponsorship and support must assure the Meeting Support Committee that the authorities of the country in which the meeting is to take place guarantee free entrance of bona fide scientists from all countries.</w:t>
      </w:r>
    </w:p>
    <w:p w14:paraId="1DB13BA1" w14:textId="29390992" w:rsidR="00835D58" w:rsidRPr="005969E0" w:rsidRDefault="00835D58" w:rsidP="005969E0">
      <w:pPr>
        <w:pStyle w:val="ListParagraph"/>
        <w:numPr>
          <w:ilvl w:val="0"/>
          <w:numId w:val="1"/>
        </w:numPr>
        <w:rPr>
          <w:rFonts w:ascii="Calibri" w:hAnsi="Calibri" w:cs="Calibri"/>
          <w:sz w:val="22"/>
          <w:szCs w:val="22"/>
        </w:rPr>
      </w:pPr>
      <w:r w:rsidRPr="005969E0">
        <w:rPr>
          <w:rFonts w:ascii="Calibri" w:hAnsi="Calibri" w:cs="Calibri"/>
          <w:sz w:val="22"/>
          <w:szCs w:val="22"/>
        </w:rPr>
        <w:t>Explicit support from the Chairs of the relevant IUCr Commission(s) is required for any international meeting (except for the meetings of Regional Associates) and from the Commission on Crystallographic Teaching for any international schools (except for those organized by an IUCr Commission). Email addresses for the Chairs may be found here.</w:t>
      </w:r>
    </w:p>
    <w:p w14:paraId="33494045" w14:textId="7A942EAD" w:rsidR="00835D58" w:rsidRPr="005969E0" w:rsidRDefault="00835D58" w:rsidP="005969E0">
      <w:pPr>
        <w:pStyle w:val="ListParagraph"/>
        <w:numPr>
          <w:ilvl w:val="0"/>
          <w:numId w:val="1"/>
        </w:numPr>
        <w:rPr>
          <w:rFonts w:ascii="Calibri" w:hAnsi="Calibri" w:cs="Calibri"/>
          <w:sz w:val="22"/>
          <w:szCs w:val="22"/>
        </w:rPr>
      </w:pPr>
      <w:r w:rsidRPr="005969E0">
        <w:rPr>
          <w:rFonts w:ascii="Calibri" w:hAnsi="Calibri" w:cs="Calibri"/>
          <w:sz w:val="22"/>
          <w:szCs w:val="22"/>
        </w:rPr>
        <w:t>Travel support for young scientists is available for all meetings (including schools). This money should not be used for waiver of registration fees or for any purposes other than travel, accommodation and subsistence for the sponsored scientists. It is recommended that the presentations of young scientists supported by the IUCr should be in English.</w:t>
      </w:r>
    </w:p>
    <w:p w14:paraId="1C335410" w14:textId="3AE5BD98" w:rsidR="00835D58" w:rsidRPr="005969E0" w:rsidRDefault="00835D58" w:rsidP="005969E0">
      <w:pPr>
        <w:pStyle w:val="ListParagraph"/>
        <w:numPr>
          <w:ilvl w:val="0"/>
          <w:numId w:val="1"/>
        </w:numPr>
        <w:rPr>
          <w:rFonts w:ascii="Calibri" w:hAnsi="Calibri" w:cs="Calibri"/>
          <w:sz w:val="22"/>
          <w:szCs w:val="22"/>
        </w:rPr>
      </w:pPr>
      <w:r w:rsidRPr="005969E0">
        <w:rPr>
          <w:rFonts w:ascii="Calibri" w:hAnsi="Calibri" w:cs="Calibri"/>
          <w:sz w:val="22"/>
          <w:szCs w:val="22"/>
        </w:rPr>
        <w:t>Consideration should be given as to whether the proposed meeting is appropriate in subject, form and timing with respect to other related meetings.</w:t>
      </w:r>
    </w:p>
    <w:p w14:paraId="64485611" w14:textId="77777777" w:rsidR="00C60CD7" w:rsidRPr="005969E0" w:rsidRDefault="00835D58" w:rsidP="00C60CD7">
      <w:pPr>
        <w:pStyle w:val="ListParagraph"/>
        <w:numPr>
          <w:ilvl w:val="0"/>
          <w:numId w:val="1"/>
        </w:numPr>
        <w:rPr>
          <w:rFonts w:ascii="Calibri" w:hAnsi="Calibri" w:cs="Calibri"/>
          <w:sz w:val="22"/>
          <w:szCs w:val="22"/>
        </w:rPr>
      </w:pPr>
      <w:r w:rsidRPr="00C60CD7">
        <w:rPr>
          <w:rFonts w:ascii="Calibri" w:hAnsi="Calibri" w:cs="Calibri"/>
          <w:sz w:val="22"/>
          <w:szCs w:val="22"/>
        </w:rPr>
        <w:t>Except in special cases, IUCr funds should not be used to sponsor more than one event per year in the same location.</w:t>
      </w:r>
      <w:r w:rsidR="00CF573E" w:rsidRPr="00C60CD7">
        <w:rPr>
          <w:rFonts w:ascii="Calibri" w:hAnsi="Calibri" w:cs="Calibri"/>
          <w:b/>
          <w:bCs/>
          <w:sz w:val="30"/>
          <w:szCs w:val="30"/>
        </w:rPr>
        <w:br w:type="page"/>
      </w:r>
    </w:p>
    <w:p w14:paraId="1A1DC14D" w14:textId="461AC223" w:rsidR="005969E0" w:rsidRPr="00C60CD7" w:rsidRDefault="00E11894" w:rsidP="00C60CD7">
      <w:pPr>
        <w:pStyle w:val="ListParagraph"/>
        <w:rPr>
          <w:rFonts w:ascii="Calibri" w:hAnsi="Calibri" w:cs="Calibri"/>
          <w:b/>
          <w:bCs/>
          <w:sz w:val="30"/>
          <w:szCs w:val="30"/>
        </w:rPr>
      </w:pPr>
      <w:r w:rsidRPr="00C60CD7">
        <w:rPr>
          <w:rFonts w:ascii="Calibri" w:hAnsi="Calibri" w:cs="Calibri"/>
          <w:b/>
          <w:bCs/>
          <w:sz w:val="30"/>
          <w:szCs w:val="30"/>
        </w:rPr>
        <w:lastRenderedPageBreak/>
        <w:t xml:space="preserve">Appendix 1: </w:t>
      </w:r>
      <w:r w:rsidR="005969E0" w:rsidRPr="00C60CD7">
        <w:rPr>
          <w:rFonts w:ascii="Calibri" w:hAnsi="Calibri" w:cs="Calibri"/>
          <w:b/>
          <w:bCs/>
          <w:sz w:val="30"/>
          <w:szCs w:val="30"/>
        </w:rPr>
        <w:t>Application Checklist</w:t>
      </w:r>
    </w:p>
    <w:tbl>
      <w:tblPr>
        <w:tblStyle w:val="TableGrid"/>
        <w:tblW w:w="0" w:type="auto"/>
        <w:tblLook w:val="04A0" w:firstRow="1" w:lastRow="0" w:firstColumn="1" w:lastColumn="0" w:noHBand="0" w:noVBand="1"/>
      </w:tblPr>
      <w:tblGrid>
        <w:gridCol w:w="8217"/>
        <w:gridCol w:w="709"/>
        <w:gridCol w:w="702"/>
      </w:tblGrid>
      <w:tr w:rsidR="005969E0" w14:paraId="0331ED03" w14:textId="77777777" w:rsidTr="00CF573E">
        <w:tc>
          <w:tcPr>
            <w:tcW w:w="8217" w:type="dxa"/>
          </w:tcPr>
          <w:p w14:paraId="457C1C8A" w14:textId="77777777" w:rsidR="005969E0" w:rsidRPr="005969E0" w:rsidRDefault="005969E0" w:rsidP="005969E0">
            <w:pPr>
              <w:spacing w:line="360" w:lineRule="auto"/>
              <w:jc w:val="center"/>
              <w:rPr>
                <w:rFonts w:ascii="Calibri" w:hAnsi="Calibri" w:cs="Calibri"/>
                <w:b/>
                <w:bCs/>
                <w:sz w:val="22"/>
                <w:szCs w:val="22"/>
              </w:rPr>
            </w:pPr>
          </w:p>
        </w:tc>
        <w:tc>
          <w:tcPr>
            <w:tcW w:w="709" w:type="dxa"/>
          </w:tcPr>
          <w:p w14:paraId="08B9E65E" w14:textId="6FEB1461" w:rsidR="005969E0" w:rsidRPr="005969E0" w:rsidRDefault="005969E0" w:rsidP="005969E0">
            <w:pPr>
              <w:spacing w:line="360" w:lineRule="auto"/>
              <w:jc w:val="center"/>
              <w:rPr>
                <w:rFonts w:ascii="Calibri" w:hAnsi="Calibri" w:cs="Calibri"/>
                <w:b/>
                <w:bCs/>
                <w:sz w:val="22"/>
                <w:szCs w:val="22"/>
              </w:rPr>
            </w:pPr>
            <w:r w:rsidRPr="005969E0">
              <w:rPr>
                <w:rFonts w:ascii="Calibri" w:hAnsi="Calibri" w:cs="Calibri"/>
                <w:b/>
                <w:bCs/>
                <w:sz w:val="22"/>
                <w:szCs w:val="22"/>
              </w:rPr>
              <w:t>Yes</w:t>
            </w:r>
          </w:p>
        </w:tc>
        <w:tc>
          <w:tcPr>
            <w:tcW w:w="702" w:type="dxa"/>
          </w:tcPr>
          <w:p w14:paraId="455FB1B9" w14:textId="606720DA" w:rsidR="005969E0" w:rsidRPr="005969E0" w:rsidRDefault="005969E0" w:rsidP="005969E0">
            <w:pPr>
              <w:spacing w:line="360" w:lineRule="auto"/>
              <w:jc w:val="center"/>
              <w:rPr>
                <w:rFonts w:ascii="Calibri" w:hAnsi="Calibri" w:cs="Calibri"/>
                <w:b/>
                <w:bCs/>
                <w:sz w:val="22"/>
                <w:szCs w:val="22"/>
              </w:rPr>
            </w:pPr>
            <w:r w:rsidRPr="005969E0">
              <w:rPr>
                <w:rFonts w:ascii="Calibri" w:hAnsi="Calibri" w:cs="Calibri"/>
                <w:b/>
                <w:bCs/>
                <w:sz w:val="22"/>
                <w:szCs w:val="22"/>
              </w:rPr>
              <w:t>No</w:t>
            </w:r>
          </w:p>
        </w:tc>
      </w:tr>
      <w:tr w:rsidR="005969E0" w14:paraId="51A645EA" w14:textId="77777777" w:rsidTr="00CF573E">
        <w:tc>
          <w:tcPr>
            <w:tcW w:w="8217" w:type="dxa"/>
          </w:tcPr>
          <w:p w14:paraId="2D5E47A9" w14:textId="7EFAEB40" w:rsidR="005969E0" w:rsidRDefault="005969E0" w:rsidP="005969E0">
            <w:pPr>
              <w:spacing w:line="360" w:lineRule="auto"/>
              <w:rPr>
                <w:rFonts w:ascii="Calibri" w:hAnsi="Calibri" w:cs="Calibri"/>
                <w:sz w:val="22"/>
                <w:szCs w:val="22"/>
              </w:rPr>
            </w:pPr>
            <w:r>
              <w:rPr>
                <w:rFonts w:ascii="Calibri" w:hAnsi="Calibri" w:cs="Calibri"/>
                <w:sz w:val="22"/>
                <w:szCs w:val="22"/>
              </w:rPr>
              <w:t>Application form filled out completely</w:t>
            </w:r>
          </w:p>
        </w:tc>
        <w:tc>
          <w:tcPr>
            <w:tcW w:w="709" w:type="dxa"/>
          </w:tcPr>
          <w:p w14:paraId="1E79BDD2" w14:textId="77777777" w:rsidR="005969E0" w:rsidRDefault="005969E0" w:rsidP="005969E0">
            <w:pPr>
              <w:spacing w:line="360" w:lineRule="auto"/>
              <w:rPr>
                <w:rFonts w:ascii="Calibri" w:hAnsi="Calibri" w:cs="Calibri"/>
                <w:sz w:val="22"/>
                <w:szCs w:val="22"/>
              </w:rPr>
            </w:pPr>
          </w:p>
        </w:tc>
        <w:tc>
          <w:tcPr>
            <w:tcW w:w="702" w:type="dxa"/>
          </w:tcPr>
          <w:p w14:paraId="14EFE163" w14:textId="5EC74A49" w:rsidR="005969E0" w:rsidRDefault="005969E0" w:rsidP="005969E0">
            <w:pPr>
              <w:spacing w:line="360" w:lineRule="auto"/>
              <w:rPr>
                <w:rFonts w:ascii="Calibri" w:hAnsi="Calibri" w:cs="Calibri"/>
                <w:sz w:val="22"/>
                <w:szCs w:val="22"/>
              </w:rPr>
            </w:pPr>
          </w:p>
        </w:tc>
      </w:tr>
      <w:tr w:rsidR="00257FC6" w14:paraId="39678B9C" w14:textId="77777777" w:rsidTr="00CF573E">
        <w:tc>
          <w:tcPr>
            <w:tcW w:w="8217" w:type="dxa"/>
          </w:tcPr>
          <w:p w14:paraId="7EDBFBDA" w14:textId="5D8590DE" w:rsidR="00257FC6" w:rsidRDefault="00257FC6" w:rsidP="005969E0">
            <w:pPr>
              <w:spacing w:line="360" w:lineRule="auto"/>
              <w:rPr>
                <w:rFonts w:ascii="Calibri" w:hAnsi="Calibri" w:cs="Calibri"/>
                <w:sz w:val="22"/>
                <w:szCs w:val="22"/>
              </w:rPr>
            </w:pPr>
            <w:r>
              <w:rPr>
                <w:rFonts w:ascii="Calibri" w:hAnsi="Calibri" w:cs="Calibri"/>
                <w:sz w:val="22"/>
                <w:szCs w:val="22"/>
              </w:rPr>
              <w:t>Report on previous meeting attached?</w:t>
            </w:r>
          </w:p>
        </w:tc>
        <w:tc>
          <w:tcPr>
            <w:tcW w:w="709" w:type="dxa"/>
          </w:tcPr>
          <w:p w14:paraId="5859E7A9" w14:textId="77777777" w:rsidR="00257FC6" w:rsidRDefault="00257FC6" w:rsidP="005969E0">
            <w:pPr>
              <w:spacing w:line="360" w:lineRule="auto"/>
              <w:rPr>
                <w:rFonts w:ascii="Calibri" w:hAnsi="Calibri" w:cs="Calibri"/>
                <w:sz w:val="22"/>
                <w:szCs w:val="22"/>
              </w:rPr>
            </w:pPr>
          </w:p>
        </w:tc>
        <w:tc>
          <w:tcPr>
            <w:tcW w:w="702" w:type="dxa"/>
          </w:tcPr>
          <w:p w14:paraId="0C1915D7" w14:textId="77777777" w:rsidR="00257FC6" w:rsidRDefault="00257FC6" w:rsidP="005969E0">
            <w:pPr>
              <w:spacing w:line="360" w:lineRule="auto"/>
              <w:rPr>
                <w:rFonts w:ascii="Calibri" w:hAnsi="Calibri" w:cs="Calibri"/>
                <w:sz w:val="22"/>
                <w:szCs w:val="22"/>
              </w:rPr>
            </w:pPr>
          </w:p>
        </w:tc>
      </w:tr>
      <w:tr w:rsidR="00CF573E" w14:paraId="0AEAE96C" w14:textId="77777777" w:rsidTr="00CF573E">
        <w:tc>
          <w:tcPr>
            <w:tcW w:w="8217" w:type="dxa"/>
          </w:tcPr>
          <w:p w14:paraId="60E66A13" w14:textId="175ED44E" w:rsidR="00CF573E" w:rsidRDefault="00CF573E" w:rsidP="005969E0">
            <w:pPr>
              <w:spacing w:line="360" w:lineRule="auto"/>
              <w:rPr>
                <w:rFonts w:ascii="Calibri" w:hAnsi="Calibri" w:cs="Calibri"/>
                <w:sz w:val="22"/>
                <w:szCs w:val="22"/>
              </w:rPr>
            </w:pPr>
            <w:r>
              <w:rPr>
                <w:rFonts w:ascii="Calibri" w:hAnsi="Calibri" w:cs="Calibri"/>
                <w:sz w:val="22"/>
                <w:szCs w:val="22"/>
              </w:rPr>
              <w:t xml:space="preserve">Blackout periods to IUCr congress and Regional Associate Meetings </w:t>
            </w:r>
            <w:r w:rsidR="00CF654D">
              <w:rPr>
                <w:rFonts w:ascii="Calibri" w:hAnsi="Calibri" w:cs="Calibri"/>
                <w:sz w:val="22"/>
                <w:szCs w:val="22"/>
              </w:rPr>
              <w:t>o</w:t>
            </w:r>
            <w:r>
              <w:rPr>
                <w:rFonts w:ascii="Calibri" w:hAnsi="Calibri" w:cs="Calibri"/>
                <w:sz w:val="22"/>
                <w:szCs w:val="22"/>
              </w:rPr>
              <w:t>bserved?</w:t>
            </w:r>
          </w:p>
        </w:tc>
        <w:tc>
          <w:tcPr>
            <w:tcW w:w="709" w:type="dxa"/>
          </w:tcPr>
          <w:p w14:paraId="02803AAA" w14:textId="77777777" w:rsidR="00CF573E" w:rsidRDefault="00CF573E" w:rsidP="005969E0">
            <w:pPr>
              <w:spacing w:line="360" w:lineRule="auto"/>
              <w:rPr>
                <w:rFonts w:ascii="Calibri" w:hAnsi="Calibri" w:cs="Calibri"/>
                <w:sz w:val="22"/>
                <w:szCs w:val="22"/>
              </w:rPr>
            </w:pPr>
          </w:p>
        </w:tc>
        <w:tc>
          <w:tcPr>
            <w:tcW w:w="702" w:type="dxa"/>
          </w:tcPr>
          <w:p w14:paraId="0C57447B" w14:textId="77777777" w:rsidR="00CF573E" w:rsidRDefault="00CF573E" w:rsidP="005969E0">
            <w:pPr>
              <w:spacing w:line="360" w:lineRule="auto"/>
              <w:rPr>
                <w:rFonts w:ascii="Calibri" w:hAnsi="Calibri" w:cs="Calibri"/>
                <w:sz w:val="22"/>
                <w:szCs w:val="22"/>
              </w:rPr>
            </w:pPr>
          </w:p>
        </w:tc>
      </w:tr>
      <w:tr w:rsidR="00CF573E" w14:paraId="202E6A25" w14:textId="77777777" w:rsidTr="00CF573E">
        <w:tc>
          <w:tcPr>
            <w:tcW w:w="8217" w:type="dxa"/>
          </w:tcPr>
          <w:p w14:paraId="42FE971A" w14:textId="53713702" w:rsidR="00CF573E" w:rsidRDefault="00CF573E" w:rsidP="005969E0">
            <w:pPr>
              <w:spacing w:line="360" w:lineRule="auto"/>
              <w:rPr>
                <w:rFonts w:ascii="Calibri" w:hAnsi="Calibri" w:cs="Calibri"/>
                <w:sz w:val="22"/>
                <w:szCs w:val="22"/>
              </w:rPr>
            </w:pPr>
            <w:r>
              <w:rPr>
                <w:rFonts w:ascii="Calibri" w:hAnsi="Calibri" w:cs="Calibri"/>
                <w:sz w:val="22"/>
                <w:szCs w:val="22"/>
              </w:rPr>
              <w:t xml:space="preserve">Support letter from </w:t>
            </w:r>
            <w:r w:rsidR="00CF654D">
              <w:rPr>
                <w:rFonts w:ascii="Calibri" w:hAnsi="Calibri" w:cs="Calibri"/>
                <w:sz w:val="22"/>
                <w:szCs w:val="22"/>
              </w:rPr>
              <w:t xml:space="preserve">chairs of </w:t>
            </w:r>
            <w:r>
              <w:rPr>
                <w:rFonts w:ascii="Calibri" w:hAnsi="Calibri" w:cs="Calibri"/>
                <w:sz w:val="22"/>
                <w:szCs w:val="22"/>
              </w:rPr>
              <w:t>IUCr Congress or R</w:t>
            </w:r>
            <w:r w:rsidR="00CF654D">
              <w:rPr>
                <w:rFonts w:ascii="Calibri" w:hAnsi="Calibri" w:cs="Calibri"/>
                <w:sz w:val="22"/>
                <w:szCs w:val="22"/>
              </w:rPr>
              <w:t>egional Associate</w:t>
            </w:r>
            <w:r>
              <w:rPr>
                <w:rFonts w:ascii="Calibri" w:hAnsi="Calibri" w:cs="Calibri"/>
                <w:sz w:val="22"/>
                <w:szCs w:val="22"/>
              </w:rPr>
              <w:t xml:space="preserve"> Meetings, if previous question is “No”?</w:t>
            </w:r>
          </w:p>
        </w:tc>
        <w:tc>
          <w:tcPr>
            <w:tcW w:w="709" w:type="dxa"/>
          </w:tcPr>
          <w:p w14:paraId="3BF79843" w14:textId="77777777" w:rsidR="00CF573E" w:rsidRDefault="00CF573E" w:rsidP="005969E0">
            <w:pPr>
              <w:spacing w:line="360" w:lineRule="auto"/>
              <w:rPr>
                <w:rFonts w:ascii="Calibri" w:hAnsi="Calibri" w:cs="Calibri"/>
                <w:sz w:val="22"/>
                <w:szCs w:val="22"/>
              </w:rPr>
            </w:pPr>
          </w:p>
        </w:tc>
        <w:tc>
          <w:tcPr>
            <w:tcW w:w="702" w:type="dxa"/>
          </w:tcPr>
          <w:p w14:paraId="249917AF" w14:textId="77777777" w:rsidR="00CF573E" w:rsidRDefault="00CF573E" w:rsidP="005969E0">
            <w:pPr>
              <w:spacing w:line="360" w:lineRule="auto"/>
              <w:rPr>
                <w:rFonts w:ascii="Calibri" w:hAnsi="Calibri" w:cs="Calibri"/>
                <w:sz w:val="22"/>
                <w:szCs w:val="22"/>
              </w:rPr>
            </w:pPr>
          </w:p>
        </w:tc>
      </w:tr>
      <w:tr w:rsidR="005969E0" w14:paraId="1981B28A" w14:textId="77777777" w:rsidTr="00CF573E">
        <w:tc>
          <w:tcPr>
            <w:tcW w:w="8217" w:type="dxa"/>
          </w:tcPr>
          <w:p w14:paraId="72D50FA0" w14:textId="76864409" w:rsidR="005969E0" w:rsidRDefault="005969E0" w:rsidP="005969E0">
            <w:pPr>
              <w:spacing w:line="360" w:lineRule="auto"/>
              <w:rPr>
                <w:rFonts w:ascii="Calibri" w:hAnsi="Calibri" w:cs="Calibri"/>
                <w:sz w:val="22"/>
                <w:szCs w:val="22"/>
              </w:rPr>
            </w:pPr>
            <w:r>
              <w:rPr>
                <w:rFonts w:ascii="Calibri" w:hAnsi="Calibri" w:cs="Calibri"/>
                <w:sz w:val="22"/>
                <w:szCs w:val="22"/>
              </w:rPr>
              <w:t>Support Letter from National Crystallographic Organisation</w:t>
            </w:r>
            <w:r w:rsidR="00CF573E">
              <w:rPr>
                <w:rFonts w:ascii="Calibri" w:hAnsi="Calibri" w:cs="Calibri"/>
                <w:sz w:val="22"/>
                <w:szCs w:val="22"/>
              </w:rPr>
              <w:t>?</w:t>
            </w:r>
          </w:p>
        </w:tc>
        <w:tc>
          <w:tcPr>
            <w:tcW w:w="709" w:type="dxa"/>
          </w:tcPr>
          <w:p w14:paraId="5A572DA2" w14:textId="77777777" w:rsidR="005969E0" w:rsidRDefault="005969E0" w:rsidP="005969E0">
            <w:pPr>
              <w:spacing w:line="360" w:lineRule="auto"/>
              <w:rPr>
                <w:rFonts w:ascii="Calibri" w:hAnsi="Calibri" w:cs="Calibri"/>
                <w:sz w:val="22"/>
                <w:szCs w:val="22"/>
              </w:rPr>
            </w:pPr>
          </w:p>
        </w:tc>
        <w:tc>
          <w:tcPr>
            <w:tcW w:w="702" w:type="dxa"/>
          </w:tcPr>
          <w:p w14:paraId="72C5635C" w14:textId="3F73D8F6" w:rsidR="005969E0" w:rsidRDefault="005969E0" w:rsidP="005969E0">
            <w:pPr>
              <w:spacing w:line="360" w:lineRule="auto"/>
              <w:rPr>
                <w:rFonts w:ascii="Calibri" w:hAnsi="Calibri" w:cs="Calibri"/>
                <w:sz w:val="22"/>
                <w:szCs w:val="22"/>
              </w:rPr>
            </w:pPr>
          </w:p>
        </w:tc>
      </w:tr>
      <w:tr w:rsidR="005969E0" w14:paraId="7A4E827E" w14:textId="77777777" w:rsidTr="00CF573E">
        <w:tc>
          <w:tcPr>
            <w:tcW w:w="8217" w:type="dxa"/>
          </w:tcPr>
          <w:p w14:paraId="1FAB2430" w14:textId="17ED114C" w:rsidR="005969E0" w:rsidRDefault="005969E0" w:rsidP="005969E0">
            <w:pPr>
              <w:spacing w:line="360" w:lineRule="auto"/>
              <w:rPr>
                <w:rFonts w:ascii="Calibri" w:hAnsi="Calibri" w:cs="Calibri"/>
                <w:sz w:val="22"/>
                <w:szCs w:val="22"/>
              </w:rPr>
            </w:pPr>
            <w:r>
              <w:rPr>
                <w:rFonts w:ascii="Calibri" w:hAnsi="Calibri" w:cs="Calibri"/>
                <w:sz w:val="22"/>
                <w:szCs w:val="22"/>
              </w:rPr>
              <w:t>Support Letter(s) from Relevant IUCr Commission(s)</w:t>
            </w:r>
            <w:r w:rsidR="00CF573E">
              <w:rPr>
                <w:rFonts w:ascii="Calibri" w:hAnsi="Calibri" w:cs="Calibri"/>
                <w:sz w:val="22"/>
                <w:szCs w:val="22"/>
              </w:rPr>
              <w:t>?</w:t>
            </w:r>
          </w:p>
        </w:tc>
        <w:tc>
          <w:tcPr>
            <w:tcW w:w="709" w:type="dxa"/>
          </w:tcPr>
          <w:p w14:paraId="57E70EC8" w14:textId="77777777" w:rsidR="005969E0" w:rsidRDefault="005969E0" w:rsidP="005969E0">
            <w:pPr>
              <w:spacing w:line="360" w:lineRule="auto"/>
              <w:rPr>
                <w:rFonts w:ascii="Calibri" w:hAnsi="Calibri" w:cs="Calibri"/>
                <w:sz w:val="22"/>
                <w:szCs w:val="22"/>
              </w:rPr>
            </w:pPr>
          </w:p>
        </w:tc>
        <w:tc>
          <w:tcPr>
            <w:tcW w:w="702" w:type="dxa"/>
          </w:tcPr>
          <w:p w14:paraId="039806EE" w14:textId="5D7E78A4" w:rsidR="005969E0" w:rsidRDefault="005969E0" w:rsidP="005969E0">
            <w:pPr>
              <w:spacing w:line="360" w:lineRule="auto"/>
              <w:rPr>
                <w:rFonts w:ascii="Calibri" w:hAnsi="Calibri" w:cs="Calibri"/>
                <w:sz w:val="22"/>
                <w:szCs w:val="22"/>
              </w:rPr>
            </w:pPr>
          </w:p>
        </w:tc>
      </w:tr>
      <w:tr w:rsidR="005969E0" w14:paraId="0E49FDBE" w14:textId="77777777" w:rsidTr="00CF573E">
        <w:tc>
          <w:tcPr>
            <w:tcW w:w="8217" w:type="dxa"/>
          </w:tcPr>
          <w:p w14:paraId="30F11828" w14:textId="7CBD462E" w:rsidR="005969E0" w:rsidRDefault="005969E0" w:rsidP="005969E0">
            <w:pPr>
              <w:spacing w:line="360" w:lineRule="auto"/>
              <w:rPr>
                <w:rFonts w:ascii="Calibri" w:hAnsi="Calibri" w:cs="Calibri"/>
                <w:sz w:val="22"/>
                <w:szCs w:val="22"/>
              </w:rPr>
            </w:pPr>
            <w:r>
              <w:rPr>
                <w:rFonts w:ascii="Calibri" w:hAnsi="Calibri" w:cs="Calibri"/>
                <w:sz w:val="22"/>
                <w:szCs w:val="22"/>
              </w:rPr>
              <w:t>Support Letter from the IUCr Commission on Crystallographic Teaching</w:t>
            </w:r>
            <w:r w:rsidR="00CF573E">
              <w:rPr>
                <w:rFonts w:ascii="Calibri" w:hAnsi="Calibri" w:cs="Calibri"/>
                <w:sz w:val="22"/>
                <w:szCs w:val="22"/>
              </w:rPr>
              <w:t>?</w:t>
            </w:r>
          </w:p>
        </w:tc>
        <w:tc>
          <w:tcPr>
            <w:tcW w:w="709" w:type="dxa"/>
          </w:tcPr>
          <w:p w14:paraId="636E8137" w14:textId="77777777" w:rsidR="005969E0" w:rsidRDefault="005969E0" w:rsidP="005969E0">
            <w:pPr>
              <w:spacing w:line="360" w:lineRule="auto"/>
              <w:rPr>
                <w:rFonts w:ascii="Calibri" w:hAnsi="Calibri" w:cs="Calibri"/>
                <w:sz w:val="22"/>
                <w:szCs w:val="22"/>
              </w:rPr>
            </w:pPr>
          </w:p>
        </w:tc>
        <w:tc>
          <w:tcPr>
            <w:tcW w:w="702" w:type="dxa"/>
          </w:tcPr>
          <w:p w14:paraId="2C387E17" w14:textId="562EFB60" w:rsidR="005969E0" w:rsidRDefault="005969E0" w:rsidP="005969E0">
            <w:pPr>
              <w:spacing w:line="360" w:lineRule="auto"/>
              <w:rPr>
                <w:rFonts w:ascii="Calibri" w:hAnsi="Calibri" w:cs="Calibri"/>
                <w:sz w:val="22"/>
                <w:szCs w:val="22"/>
              </w:rPr>
            </w:pPr>
          </w:p>
        </w:tc>
      </w:tr>
      <w:tr w:rsidR="005969E0" w14:paraId="4EAB1F39" w14:textId="77777777" w:rsidTr="00CF573E">
        <w:tc>
          <w:tcPr>
            <w:tcW w:w="8217" w:type="dxa"/>
          </w:tcPr>
          <w:p w14:paraId="47981D24" w14:textId="12E26A71" w:rsidR="005969E0" w:rsidRDefault="005969E0" w:rsidP="005969E0">
            <w:pPr>
              <w:spacing w:line="360" w:lineRule="auto"/>
              <w:rPr>
                <w:rFonts w:ascii="Calibri" w:hAnsi="Calibri" w:cs="Calibri"/>
                <w:sz w:val="22"/>
                <w:szCs w:val="22"/>
              </w:rPr>
            </w:pPr>
            <w:r>
              <w:rPr>
                <w:rFonts w:ascii="Calibri" w:hAnsi="Calibri" w:cs="Calibri"/>
                <w:sz w:val="22"/>
                <w:szCs w:val="22"/>
              </w:rPr>
              <w:t>Web site of the event available</w:t>
            </w:r>
            <w:r w:rsidR="005A237D">
              <w:rPr>
                <w:rFonts w:ascii="Calibri" w:hAnsi="Calibri" w:cs="Calibri"/>
                <w:sz w:val="22"/>
                <w:szCs w:val="22"/>
              </w:rPr>
              <w:t xml:space="preserve"> (in English)</w:t>
            </w:r>
            <w:r w:rsidR="00CF573E">
              <w:rPr>
                <w:rFonts w:ascii="Calibri" w:hAnsi="Calibri" w:cs="Calibri"/>
                <w:sz w:val="22"/>
                <w:szCs w:val="22"/>
              </w:rPr>
              <w:t>?</w:t>
            </w:r>
          </w:p>
        </w:tc>
        <w:tc>
          <w:tcPr>
            <w:tcW w:w="709" w:type="dxa"/>
          </w:tcPr>
          <w:p w14:paraId="7E86F12D" w14:textId="77777777" w:rsidR="005969E0" w:rsidRDefault="005969E0" w:rsidP="005969E0">
            <w:pPr>
              <w:spacing w:line="360" w:lineRule="auto"/>
              <w:rPr>
                <w:rFonts w:ascii="Calibri" w:hAnsi="Calibri" w:cs="Calibri"/>
                <w:sz w:val="22"/>
                <w:szCs w:val="22"/>
              </w:rPr>
            </w:pPr>
          </w:p>
        </w:tc>
        <w:tc>
          <w:tcPr>
            <w:tcW w:w="702" w:type="dxa"/>
          </w:tcPr>
          <w:p w14:paraId="31A2D3FB" w14:textId="2160180A" w:rsidR="005969E0" w:rsidRDefault="005969E0" w:rsidP="005969E0">
            <w:pPr>
              <w:spacing w:line="360" w:lineRule="auto"/>
              <w:rPr>
                <w:rFonts w:ascii="Calibri" w:hAnsi="Calibri" w:cs="Calibri"/>
                <w:sz w:val="22"/>
                <w:szCs w:val="22"/>
              </w:rPr>
            </w:pPr>
          </w:p>
        </w:tc>
      </w:tr>
      <w:tr w:rsidR="005969E0" w14:paraId="66CF2E59" w14:textId="77777777" w:rsidTr="00CF573E">
        <w:tc>
          <w:tcPr>
            <w:tcW w:w="8217" w:type="dxa"/>
          </w:tcPr>
          <w:p w14:paraId="3801F358" w14:textId="4BD0D53C" w:rsidR="005969E0" w:rsidRDefault="005969E0" w:rsidP="005969E0">
            <w:pPr>
              <w:spacing w:line="360" w:lineRule="auto"/>
              <w:rPr>
                <w:rFonts w:ascii="Calibri" w:hAnsi="Calibri" w:cs="Calibri"/>
                <w:sz w:val="22"/>
                <w:szCs w:val="22"/>
              </w:rPr>
            </w:pPr>
            <w:r>
              <w:rPr>
                <w:rFonts w:ascii="Calibri" w:hAnsi="Calibri" w:cs="Calibri"/>
                <w:sz w:val="22"/>
                <w:szCs w:val="22"/>
              </w:rPr>
              <w:t>Preliminary program available</w:t>
            </w:r>
            <w:r w:rsidR="00CF573E">
              <w:rPr>
                <w:rFonts w:ascii="Calibri" w:hAnsi="Calibri" w:cs="Calibri"/>
                <w:sz w:val="22"/>
                <w:szCs w:val="22"/>
              </w:rPr>
              <w:t>?</w:t>
            </w:r>
          </w:p>
        </w:tc>
        <w:tc>
          <w:tcPr>
            <w:tcW w:w="709" w:type="dxa"/>
          </w:tcPr>
          <w:p w14:paraId="3DE149FD" w14:textId="77777777" w:rsidR="005969E0" w:rsidRDefault="005969E0" w:rsidP="005969E0">
            <w:pPr>
              <w:spacing w:line="360" w:lineRule="auto"/>
              <w:rPr>
                <w:rFonts w:ascii="Calibri" w:hAnsi="Calibri" w:cs="Calibri"/>
                <w:sz w:val="22"/>
                <w:szCs w:val="22"/>
              </w:rPr>
            </w:pPr>
          </w:p>
        </w:tc>
        <w:tc>
          <w:tcPr>
            <w:tcW w:w="702" w:type="dxa"/>
          </w:tcPr>
          <w:p w14:paraId="06E052A5" w14:textId="77777777" w:rsidR="005969E0" w:rsidRDefault="005969E0" w:rsidP="005969E0">
            <w:pPr>
              <w:spacing w:line="360" w:lineRule="auto"/>
              <w:rPr>
                <w:rFonts w:ascii="Calibri" w:hAnsi="Calibri" w:cs="Calibri"/>
                <w:sz w:val="22"/>
                <w:szCs w:val="22"/>
              </w:rPr>
            </w:pPr>
          </w:p>
        </w:tc>
      </w:tr>
      <w:tr w:rsidR="005969E0" w14:paraId="4AB084F6" w14:textId="77777777" w:rsidTr="00CF573E">
        <w:tc>
          <w:tcPr>
            <w:tcW w:w="8217" w:type="dxa"/>
          </w:tcPr>
          <w:p w14:paraId="15D99BC9" w14:textId="25914573" w:rsidR="005969E0" w:rsidRDefault="005969E0" w:rsidP="005969E0">
            <w:pPr>
              <w:spacing w:line="360" w:lineRule="auto"/>
              <w:rPr>
                <w:rFonts w:ascii="Calibri" w:hAnsi="Calibri" w:cs="Calibri"/>
                <w:sz w:val="22"/>
                <w:szCs w:val="22"/>
              </w:rPr>
            </w:pPr>
            <w:r>
              <w:rPr>
                <w:rFonts w:ascii="Calibri" w:hAnsi="Calibri" w:cs="Calibri"/>
                <w:sz w:val="22"/>
                <w:szCs w:val="22"/>
              </w:rPr>
              <w:t>Suitable gender and diversity statement placed prominently on web site</w:t>
            </w:r>
            <w:r w:rsidR="00CF573E">
              <w:rPr>
                <w:rFonts w:ascii="Calibri" w:hAnsi="Calibri" w:cs="Calibri"/>
                <w:sz w:val="22"/>
                <w:szCs w:val="22"/>
              </w:rPr>
              <w:t>?</w:t>
            </w:r>
          </w:p>
        </w:tc>
        <w:tc>
          <w:tcPr>
            <w:tcW w:w="709" w:type="dxa"/>
          </w:tcPr>
          <w:p w14:paraId="23825314" w14:textId="77777777" w:rsidR="005969E0" w:rsidRDefault="005969E0" w:rsidP="005969E0">
            <w:pPr>
              <w:spacing w:line="360" w:lineRule="auto"/>
              <w:rPr>
                <w:rFonts w:ascii="Calibri" w:hAnsi="Calibri" w:cs="Calibri"/>
                <w:sz w:val="22"/>
                <w:szCs w:val="22"/>
              </w:rPr>
            </w:pPr>
          </w:p>
        </w:tc>
        <w:tc>
          <w:tcPr>
            <w:tcW w:w="702" w:type="dxa"/>
          </w:tcPr>
          <w:p w14:paraId="583A2BD6" w14:textId="19DF385F" w:rsidR="005969E0" w:rsidRDefault="005969E0" w:rsidP="005969E0">
            <w:pPr>
              <w:spacing w:line="360" w:lineRule="auto"/>
              <w:rPr>
                <w:rFonts w:ascii="Calibri" w:hAnsi="Calibri" w:cs="Calibri"/>
                <w:sz w:val="22"/>
                <w:szCs w:val="22"/>
              </w:rPr>
            </w:pPr>
          </w:p>
        </w:tc>
      </w:tr>
      <w:tr w:rsidR="005969E0" w14:paraId="7557D973" w14:textId="77777777" w:rsidTr="00CF573E">
        <w:tc>
          <w:tcPr>
            <w:tcW w:w="8217" w:type="dxa"/>
          </w:tcPr>
          <w:p w14:paraId="70E9B17F" w14:textId="77777777" w:rsidR="005969E0" w:rsidRDefault="005969E0" w:rsidP="005969E0">
            <w:pPr>
              <w:spacing w:line="360" w:lineRule="auto"/>
              <w:rPr>
                <w:rFonts w:ascii="Calibri" w:hAnsi="Calibri" w:cs="Calibri"/>
                <w:sz w:val="22"/>
                <w:szCs w:val="22"/>
              </w:rPr>
            </w:pPr>
          </w:p>
        </w:tc>
        <w:tc>
          <w:tcPr>
            <w:tcW w:w="709" w:type="dxa"/>
          </w:tcPr>
          <w:p w14:paraId="4DBD1356" w14:textId="77777777" w:rsidR="005969E0" w:rsidRDefault="005969E0" w:rsidP="005969E0">
            <w:pPr>
              <w:spacing w:line="360" w:lineRule="auto"/>
              <w:rPr>
                <w:rFonts w:ascii="Calibri" w:hAnsi="Calibri" w:cs="Calibri"/>
                <w:sz w:val="22"/>
                <w:szCs w:val="22"/>
              </w:rPr>
            </w:pPr>
          </w:p>
        </w:tc>
        <w:tc>
          <w:tcPr>
            <w:tcW w:w="702" w:type="dxa"/>
          </w:tcPr>
          <w:p w14:paraId="504B5710" w14:textId="59B9F371" w:rsidR="005969E0" w:rsidRDefault="005969E0" w:rsidP="005969E0">
            <w:pPr>
              <w:spacing w:line="360" w:lineRule="auto"/>
              <w:rPr>
                <w:rFonts w:ascii="Calibri" w:hAnsi="Calibri" w:cs="Calibri"/>
                <w:sz w:val="22"/>
                <w:szCs w:val="22"/>
              </w:rPr>
            </w:pPr>
          </w:p>
        </w:tc>
      </w:tr>
      <w:tr w:rsidR="00CF573E" w14:paraId="6CA15803" w14:textId="77777777" w:rsidTr="00CF573E">
        <w:tc>
          <w:tcPr>
            <w:tcW w:w="8217" w:type="dxa"/>
          </w:tcPr>
          <w:p w14:paraId="7FBCB415" w14:textId="77777777" w:rsidR="00CF573E" w:rsidRDefault="00CF573E" w:rsidP="005969E0">
            <w:pPr>
              <w:spacing w:line="360" w:lineRule="auto"/>
              <w:rPr>
                <w:rFonts w:ascii="Calibri" w:hAnsi="Calibri" w:cs="Calibri"/>
                <w:sz w:val="22"/>
                <w:szCs w:val="22"/>
              </w:rPr>
            </w:pPr>
          </w:p>
        </w:tc>
        <w:tc>
          <w:tcPr>
            <w:tcW w:w="709" w:type="dxa"/>
          </w:tcPr>
          <w:p w14:paraId="05558B2F" w14:textId="77777777" w:rsidR="00CF573E" w:rsidRDefault="00CF573E" w:rsidP="005969E0">
            <w:pPr>
              <w:spacing w:line="360" w:lineRule="auto"/>
              <w:rPr>
                <w:rFonts w:ascii="Calibri" w:hAnsi="Calibri" w:cs="Calibri"/>
                <w:sz w:val="22"/>
                <w:szCs w:val="22"/>
              </w:rPr>
            </w:pPr>
          </w:p>
        </w:tc>
        <w:tc>
          <w:tcPr>
            <w:tcW w:w="702" w:type="dxa"/>
          </w:tcPr>
          <w:p w14:paraId="3DC93FCC" w14:textId="77777777" w:rsidR="00CF573E" w:rsidRDefault="00CF573E" w:rsidP="005969E0">
            <w:pPr>
              <w:spacing w:line="360" w:lineRule="auto"/>
              <w:rPr>
                <w:rFonts w:ascii="Calibri" w:hAnsi="Calibri" w:cs="Calibri"/>
                <w:sz w:val="22"/>
                <w:szCs w:val="22"/>
              </w:rPr>
            </w:pPr>
          </w:p>
        </w:tc>
      </w:tr>
      <w:tr w:rsidR="00CF573E" w14:paraId="3A982A98" w14:textId="77777777" w:rsidTr="00CF573E">
        <w:tc>
          <w:tcPr>
            <w:tcW w:w="8217" w:type="dxa"/>
          </w:tcPr>
          <w:p w14:paraId="66F5BDC5" w14:textId="77777777" w:rsidR="00CF573E" w:rsidRDefault="00CF573E" w:rsidP="005969E0">
            <w:pPr>
              <w:spacing w:line="360" w:lineRule="auto"/>
              <w:rPr>
                <w:rFonts w:ascii="Calibri" w:hAnsi="Calibri" w:cs="Calibri"/>
                <w:sz w:val="22"/>
                <w:szCs w:val="22"/>
              </w:rPr>
            </w:pPr>
          </w:p>
        </w:tc>
        <w:tc>
          <w:tcPr>
            <w:tcW w:w="709" w:type="dxa"/>
          </w:tcPr>
          <w:p w14:paraId="7C7E2F97" w14:textId="77777777" w:rsidR="00CF573E" w:rsidRDefault="00CF573E" w:rsidP="005969E0">
            <w:pPr>
              <w:spacing w:line="360" w:lineRule="auto"/>
              <w:rPr>
                <w:rFonts w:ascii="Calibri" w:hAnsi="Calibri" w:cs="Calibri"/>
                <w:sz w:val="22"/>
                <w:szCs w:val="22"/>
              </w:rPr>
            </w:pPr>
          </w:p>
        </w:tc>
        <w:tc>
          <w:tcPr>
            <w:tcW w:w="702" w:type="dxa"/>
          </w:tcPr>
          <w:p w14:paraId="0FF4BA35" w14:textId="77777777" w:rsidR="00CF573E" w:rsidRDefault="00CF573E" w:rsidP="005969E0">
            <w:pPr>
              <w:spacing w:line="360" w:lineRule="auto"/>
              <w:rPr>
                <w:rFonts w:ascii="Calibri" w:hAnsi="Calibri" w:cs="Calibri"/>
                <w:sz w:val="22"/>
                <w:szCs w:val="22"/>
              </w:rPr>
            </w:pPr>
          </w:p>
        </w:tc>
      </w:tr>
      <w:tr w:rsidR="00CF573E" w14:paraId="7BD219C5" w14:textId="77777777" w:rsidTr="00CF573E">
        <w:tc>
          <w:tcPr>
            <w:tcW w:w="8217" w:type="dxa"/>
          </w:tcPr>
          <w:p w14:paraId="3FB8D089" w14:textId="512220C5" w:rsidR="00CF573E" w:rsidRDefault="00CF573E" w:rsidP="005969E0">
            <w:pPr>
              <w:spacing w:line="360" w:lineRule="auto"/>
              <w:rPr>
                <w:rFonts w:ascii="Calibri" w:hAnsi="Calibri" w:cs="Calibri"/>
                <w:sz w:val="22"/>
                <w:szCs w:val="22"/>
              </w:rPr>
            </w:pPr>
            <w:r>
              <w:rPr>
                <w:rFonts w:ascii="Calibri" w:hAnsi="Calibri" w:cs="Calibri"/>
                <w:sz w:val="22"/>
                <w:szCs w:val="22"/>
              </w:rPr>
              <w:t>Application pdf prepared?</w:t>
            </w:r>
          </w:p>
        </w:tc>
        <w:tc>
          <w:tcPr>
            <w:tcW w:w="709" w:type="dxa"/>
          </w:tcPr>
          <w:p w14:paraId="3024E70C" w14:textId="77777777" w:rsidR="00CF573E" w:rsidRDefault="00CF573E" w:rsidP="005969E0">
            <w:pPr>
              <w:spacing w:line="360" w:lineRule="auto"/>
              <w:rPr>
                <w:rFonts w:ascii="Calibri" w:hAnsi="Calibri" w:cs="Calibri"/>
                <w:sz w:val="22"/>
                <w:szCs w:val="22"/>
              </w:rPr>
            </w:pPr>
          </w:p>
        </w:tc>
        <w:tc>
          <w:tcPr>
            <w:tcW w:w="702" w:type="dxa"/>
          </w:tcPr>
          <w:p w14:paraId="12C07195" w14:textId="77777777" w:rsidR="00CF573E" w:rsidRDefault="00CF573E" w:rsidP="005969E0">
            <w:pPr>
              <w:spacing w:line="360" w:lineRule="auto"/>
              <w:rPr>
                <w:rFonts w:ascii="Calibri" w:hAnsi="Calibri" w:cs="Calibri"/>
                <w:sz w:val="22"/>
                <w:szCs w:val="22"/>
              </w:rPr>
            </w:pPr>
          </w:p>
        </w:tc>
      </w:tr>
      <w:tr w:rsidR="00CF573E" w14:paraId="7AA791B8" w14:textId="77777777" w:rsidTr="00CF573E">
        <w:tc>
          <w:tcPr>
            <w:tcW w:w="8217" w:type="dxa"/>
          </w:tcPr>
          <w:p w14:paraId="5DA1F497" w14:textId="77777777" w:rsidR="00CF573E" w:rsidRDefault="00CF573E" w:rsidP="005969E0">
            <w:pPr>
              <w:spacing w:line="360" w:lineRule="auto"/>
              <w:rPr>
                <w:rFonts w:ascii="Calibri" w:hAnsi="Calibri" w:cs="Calibri"/>
                <w:sz w:val="22"/>
                <w:szCs w:val="22"/>
              </w:rPr>
            </w:pPr>
          </w:p>
        </w:tc>
        <w:tc>
          <w:tcPr>
            <w:tcW w:w="709" w:type="dxa"/>
          </w:tcPr>
          <w:p w14:paraId="29313540" w14:textId="77777777" w:rsidR="00CF573E" w:rsidRDefault="00CF573E" w:rsidP="005969E0">
            <w:pPr>
              <w:spacing w:line="360" w:lineRule="auto"/>
              <w:rPr>
                <w:rFonts w:ascii="Calibri" w:hAnsi="Calibri" w:cs="Calibri"/>
                <w:sz w:val="22"/>
                <w:szCs w:val="22"/>
              </w:rPr>
            </w:pPr>
          </w:p>
        </w:tc>
        <w:tc>
          <w:tcPr>
            <w:tcW w:w="702" w:type="dxa"/>
          </w:tcPr>
          <w:p w14:paraId="5FD49D68" w14:textId="77777777" w:rsidR="00CF573E" w:rsidRDefault="00CF573E" w:rsidP="005969E0">
            <w:pPr>
              <w:spacing w:line="360" w:lineRule="auto"/>
              <w:rPr>
                <w:rFonts w:ascii="Calibri" w:hAnsi="Calibri" w:cs="Calibri"/>
                <w:sz w:val="22"/>
                <w:szCs w:val="22"/>
              </w:rPr>
            </w:pPr>
          </w:p>
        </w:tc>
      </w:tr>
      <w:tr w:rsidR="00CF573E" w14:paraId="604FAF98" w14:textId="77777777" w:rsidTr="00CF573E">
        <w:tc>
          <w:tcPr>
            <w:tcW w:w="8217" w:type="dxa"/>
          </w:tcPr>
          <w:p w14:paraId="0AB60004" w14:textId="77777777" w:rsidR="00CF573E" w:rsidRDefault="00CF573E" w:rsidP="005969E0">
            <w:pPr>
              <w:spacing w:line="360" w:lineRule="auto"/>
              <w:rPr>
                <w:rFonts w:ascii="Calibri" w:hAnsi="Calibri" w:cs="Calibri"/>
                <w:sz w:val="22"/>
                <w:szCs w:val="22"/>
              </w:rPr>
            </w:pPr>
          </w:p>
        </w:tc>
        <w:tc>
          <w:tcPr>
            <w:tcW w:w="709" w:type="dxa"/>
          </w:tcPr>
          <w:p w14:paraId="032B4211" w14:textId="77777777" w:rsidR="00CF573E" w:rsidRDefault="00CF573E" w:rsidP="005969E0">
            <w:pPr>
              <w:spacing w:line="360" w:lineRule="auto"/>
              <w:rPr>
                <w:rFonts w:ascii="Calibri" w:hAnsi="Calibri" w:cs="Calibri"/>
                <w:sz w:val="22"/>
                <w:szCs w:val="22"/>
              </w:rPr>
            </w:pPr>
          </w:p>
        </w:tc>
        <w:tc>
          <w:tcPr>
            <w:tcW w:w="702" w:type="dxa"/>
          </w:tcPr>
          <w:p w14:paraId="2D924AE3" w14:textId="77777777" w:rsidR="00CF573E" w:rsidRDefault="00CF573E" w:rsidP="005969E0">
            <w:pPr>
              <w:spacing w:line="360" w:lineRule="auto"/>
              <w:rPr>
                <w:rFonts w:ascii="Calibri" w:hAnsi="Calibri" w:cs="Calibri"/>
                <w:sz w:val="22"/>
                <w:szCs w:val="22"/>
              </w:rPr>
            </w:pPr>
          </w:p>
        </w:tc>
      </w:tr>
    </w:tbl>
    <w:p w14:paraId="47AEDB3E" w14:textId="77777777" w:rsidR="005969E0" w:rsidRDefault="005969E0" w:rsidP="00835D58">
      <w:pPr>
        <w:rPr>
          <w:rFonts w:ascii="Calibri" w:hAnsi="Calibri" w:cs="Calibri"/>
          <w:sz w:val="22"/>
          <w:szCs w:val="22"/>
        </w:rPr>
      </w:pPr>
    </w:p>
    <w:p w14:paraId="6BD97A89" w14:textId="77777777" w:rsidR="005969E0" w:rsidRDefault="005969E0" w:rsidP="00835D58">
      <w:pPr>
        <w:rPr>
          <w:rFonts w:ascii="Calibri" w:hAnsi="Calibri" w:cs="Calibri"/>
          <w:sz w:val="22"/>
          <w:szCs w:val="22"/>
        </w:rPr>
      </w:pPr>
    </w:p>
    <w:p w14:paraId="2224C446" w14:textId="77777777" w:rsidR="005969E0" w:rsidRDefault="005969E0">
      <w:pPr>
        <w:rPr>
          <w:rFonts w:ascii="Calibri" w:hAnsi="Calibri" w:cs="Calibri"/>
          <w:b/>
          <w:bCs/>
          <w:sz w:val="30"/>
          <w:szCs w:val="30"/>
        </w:rPr>
      </w:pPr>
      <w:r>
        <w:rPr>
          <w:rFonts w:ascii="Calibri" w:hAnsi="Calibri" w:cs="Calibri"/>
          <w:b/>
          <w:bCs/>
          <w:sz w:val="30"/>
          <w:szCs w:val="30"/>
        </w:rPr>
        <w:br w:type="page"/>
      </w:r>
    </w:p>
    <w:p w14:paraId="69E1A265" w14:textId="4BCAF7B1" w:rsidR="005969E0" w:rsidRDefault="00E11894" w:rsidP="00E11894">
      <w:pPr>
        <w:rPr>
          <w:rFonts w:ascii="Calibri" w:hAnsi="Calibri" w:cs="Calibri"/>
          <w:b/>
          <w:bCs/>
          <w:sz w:val="30"/>
          <w:szCs w:val="30"/>
        </w:rPr>
      </w:pPr>
      <w:r>
        <w:rPr>
          <w:rFonts w:ascii="Calibri" w:hAnsi="Calibri" w:cs="Calibri"/>
          <w:b/>
          <w:bCs/>
          <w:sz w:val="30"/>
          <w:szCs w:val="30"/>
        </w:rPr>
        <w:lastRenderedPageBreak/>
        <w:t xml:space="preserve">Appendix 2: </w:t>
      </w:r>
      <w:r w:rsidR="005969E0">
        <w:rPr>
          <w:rFonts w:ascii="Calibri" w:hAnsi="Calibri" w:cs="Calibri"/>
          <w:b/>
          <w:bCs/>
          <w:sz w:val="30"/>
          <w:szCs w:val="30"/>
        </w:rPr>
        <w:t xml:space="preserve">Template </w:t>
      </w:r>
      <w:r>
        <w:rPr>
          <w:rFonts w:ascii="Calibri" w:hAnsi="Calibri" w:cs="Calibri"/>
          <w:b/>
          <w:bCs/>
          <w:sz w:val="30"/>
          <w:szCs w:val="30"/>
        </w:rPr>
        <w:t xml:space="preserve">for </w:t>
      </w:r>
      <w:r w:rsidR="005969E0">
        <w:rPr>
          <w:rFonts w:ascii="Calibri" w:hAnsi="Calibri" w:cs="Calibri"/>
          <w:b/>
          <w:bCs/>
          <w:sz w:val="30"/>
          <w:szCs w:val="30"/>
        </w:rPr>
        <w:t>Gender</w:t>
      </w:r>
      <w:r>
        <w:rPr>
          <w:rFonts w:ascii="Calibri" w:hAnsi="Calibri" w:cs="Calibri"/>
          <w:b/>
          <w:bCs/>
          <w:sz w:val="30"/>
          <w:szCs w:val="30"/>
        </w:rPr>
        <w:t>, Scientific Freedom</w:t>
      </w:r>
      <w:r w:rsidR="005969E0">
        <w:rPr>
          <w:rFonts w:ascii="Calibri" w:hAnsi="Calibri" w:cs="Calibri"/>
          <w:b/>
          <w:bCs/>
          <w:sz w:val="30"/>
          <w:szCs w:val="30"/>
        </w:rPr>
        <w:t xml:space="preserve"> and Diversity Statement</w:t>
      </w:r>
      <w:r>
        <w:rPr>
          <w:rFonts w:ascii="Calibri" w:hAnsi="Calibri" w:cs="Calibri"/>
          <w:b/>
          <w:bCs/>
          <w:sz w:val="30"/>
          <w:szCs w:val="30"/>
        </w:rPr>
        <w:t>s</w:t>
      </w:r>
    </w:p>
    <w:p w14:paraId="127E1E31" w14:textId="77777777" w:rsidR="005969E0" w:rsidRPr="00E11894" w:rsidRDefault="005969E0" w:rsidP="005969E0">
      <w:pPr>
        <w:spacing w:after="0" w:line="360" w:lineRule="auto"/>
        <w:jc w:val="both"/>
        <w:outlineLvl w:val="3"/>
        <w:rPr>
          <w:rFonts w:ascii="Calibri" w:eastAsia="Times New Roman" w:hAnsi="Calibri" w:cs="Calibri"/>
          <w:b/>
          <w:bCs/>
          <w:lang w:val="en-US" w:eastAsia="de-DE"/>
        </w:rPr>
      </w:pPr>
      <w:r w:rsidRPr="00E11894">
        <w:rPr>
          <w:rFonts w:ascii="Calibri" w:eastAsia="Times New Roman" w:hAnsi="Calibri" w:cs="Calibri"/>
          <w:b/>
          <w:bCs/>
          <w:lang w:val="en-US" w:eastAsia="de-DE"/>
        </w:rPr>
        <w:t>Statement on Gender Balance at &lt;event&gt;</w:t>
      </w:r>
    </w:p>
    <w:p w14:paraId="70240BD5" w14:textId="3C045130" w:rsidR="005969E0" w:rsidRPr="005969E0" w:rsidRDefault="005969E0" w:rsidP="005969E0">
      <w:pPr>
        <w:spacing w:after="0" w:line="360" w:lineRule="auto"/>
        <w:jc w:val="both"/>
        <w:rPr>
          <w:rFonts w:ascii="Calibri" w:eastAsia="Times New Roman" w:hAnsi="Calibri" w:cs="Calibri"/>
          <w:lang w:val="en-US" w:eastAsia="de-DE"/>
        </w:rPr>
      </w:pPr>
      <w:r w:rsidRPr="005969E0">
        <w:rPr>
          <w:rFonts w:ascii="Calibri" w:eastAsia="Times New Roman" w:hAnsi="Calibri" w:cs="Calibri"/>
          <w:lang w:val="en-US" w:eastAsia="de-DE"/>
        </w:rPr>
        <w:t xml:space="preserve">The &lt;event&gt; Organizing Committee fully supports and promotes gender equality in accordance with the IUCr policy </w:t>
      </w:r>
      <w:hyperlink r:id="rId5" w:history="1">
        <w:r w:rsidRPr="00A53BBF">
          <w:rPr>
            <w:rStyle w:val="Hyperlink"/>
            <w:rFonts w:ascii="Calibri" w:eastAsia="Times New Roman" w:hAnsi="Calibri" w:cs="Calibri"/>
            <w:lang w:val="en-US" w:eastAsia="de-DE"/>
          </w:rPr>
          <w:t>https://www.iucr.org/iucr/principles-and-policies/gender-balance</w:t>
        </w:r>
      </w:hyperlink>
      <w:r w:rsidRPr="005969E0">
        <w:rPr>
          <w:rFonts w:ascii="Calibri" w:eastAsia="Times New Roman" w:hAnsi="Calibri" w:cs="Calibri"/>
          <w:color w:val="0000FF"/>
          <w:u w:val="single"/>
          <w:lang w:val="en-US" w:eastAsia="de-DE"/>
        </w:rPr>
        <w:t>.</w:t>
      </w:r>
      <w:r>
        <w:rPr>
          <w:rFonts w:ascii="Calibri" w:eastAsia="Times New Roman" w:hAnsi="Calibri" w:cs="Calibri"/>
          <w:color w:val="0000FF"/>
          <w:u w:val="single"/>
          <w:lang w:val="en-US" w:eastAsia="de-DE"/>
        </w:rPr>
        <w:t xml:space="preserve"> </w:t>
      </w:r>
      <w:r w:rsidRPr="005969E0">
        <w:rPr>
          <w:rFonts w:ascii="Calibri" w:eastAsia="Times New Roman" w:hAnsi="Calibri" w:cs="Calibri"/>
          <w:lang w:val="en-US" w:eastAsia="de-DE"/>
        </w:rPr>
        <w:t>We will ensure gender equality in our committees (including the Organizing Committee itself), among our lecturers and participants and pay special attention to the gender balance in evaluating bursary applications.</w:t>
      </w:r>
    </w:p>
    <w:p w14:paraId="31E6CB7D" w14:textId="77777777" w:rsidR="005969E0" w:rsidRPr="005969E0" w:rsidRDefault="005969E0" w:rsidP="005969E0">
      <w:pPr>
        <w:spacing w:after="0" w:line="360" w:lineRule="auto"/>
        <w:jc w:val="both"/>
        <w:rPr>
          <w:rFonts w:ascii="Calibri" w:eastAsia="Times New Roman" w:hAnsi="Calibri" w:cs="Calibri"/>
          <w:lang w:val="en-US" w:eastAsia="de-DE"/>
        </w:rPr>
      </w:pPr>
      <w:r w:rsidRPr="005969E0">
        <w:rPr>
          <w:rFonts w:ascii="Calibri" w:eastAsia="Times New Roman" w:hAnsi="Calibri" w:cs="Calibri"/>
          <w:lang w:val="en-US" w:eastAsia="de-DE"/>
        </w:rPr>
        <w:t>In accordance with IUCr policy, our gender statistics are here &lt;link&gt; &lt;or provide data on this page&gt;:</w:t>
      </w:r>
    </w:p>
    <w:p w14:paraId="22510573" w14:textId="77777777" w:rsidR="005969E0" w:rsidRDefault="005969E0" w:rsidP="005969E0">
      <w:pPr>
        <w:spacing w:after="0" w:line="360" w:lineRule="auto"/>
        <w:jc w:val="both"/>
        <w:rPr>
          <w:rFonts w:ascii="Calibri" w:hAnsi="Calibri" w:cs="Calibri"/>
          <w:shd w:val="clear" w:color="auto" w:fill="FFFFFF"/>
          <w:lang w:val="en-US"/>
        </w:rPr>
      </w:pPr>
      <w:r w:rsidRPr="005969E0">
        <w:rPr>
          <w:rFonts w:ascii="Calibri" w:eastAsia="Times New Roman" w:hAnsi="Calibri" w:cs="Calibri"/>
          <w:lang w:val="en-US" w:eastAsia="de-DE"/>
        </w:rPr>
        <w:t>For further information, our</w:t>
      </w:r>
      <w:r w:rsidRPr="005969E0">
        <w:rPr>
          <w:rFonts w:ascii="Calibri" w:hAnsi="Calibri" w:cs="Calibri"/>
          <w:shd w:val="clear" w:color="auto" w:fill="FFFFFF"/>
          <w:lang w:val="en-US"/>
        </w:rPr>
        <w:t xml:space="preserve"> gender equity and diversity advisor is &lt;&gt;</w:t>
      </w:r>
      <w:r>
        <w:rPr>
          <w:rFonts w:ascii="Calibri" w:hAnsi="Calibri" w:cs="Calibri"/>
          <w:shd w:val="clear" w:color="auto" w:fill="FFFFFF"/>
          <w:lang w:val="en-US"/>
        </w:rPr>
        <w:t xml:space="preserve">. </w:t>
      </w:r>
    </w:p>
    <w:p w14:paraId="2958143D" w14:textId="6E392BC5" w:rsidR="005969E0" w:rsidRPr="00E11894" w:rsidRDefault="005969E0" w:rsidP="005969E0">
      <w:pPr>
        <w:spacing w:after="0" w:line="360" w:lineRule="auto"/>
        <w:jc w:val="both"/>
        <w:rPr>
          <w:rFonts w:ascii="Calibri" w:eastAsia="Times New Roman" w:hAnsi="Calibri" w:cs="Calibri"/>
          <w:i/>
          <w:iCs/>
          <w:lang w:val="en-US" w:eastAsia="de-DE"/>
        </w:rPr>
      </w:pPr>
      <w:r w:rsidRPr="00E11894">
        <w:rPr>
          <w:rFonts w:ascii="Calibri" w:eastAsia="Times New Roman" w:hAnsi="Calibri" w:cs="Calibri"/>
          <w:i/>
          <w:iCs/>
          <w:lang w:val="en-US" w:eastAsia="de-DE"/>
        </w:rPr>
        <w:t>Further information can be found on the web site of IUCR’s Gender Equity and Diversity Committee GEDC (</w:t>
      </w:r>
      <w:hyperlink r:id="rId6" w:history="1">
        <w:r w:rsidRPr="00E11894">
          <w:rPr>
            <w:rStyle w:val="Hyperlink"/>
            <w:rFonts w:ascii="Calibri" w:hAnsi="Calibri" w:cs="Calibri"/>
            <w:i/>
            <w:iCs/>
            <w:lang w:val="en-US"/>
          </w:rPr>
          <w:t>https://www.iucr.org/iucr/governance/advisory-committees/gedc</w:t>
        </w:r>
      </w:hyperlink>
      <w:r w:rsidRPr="00E11894">
        <w:rPr>
          <w:rFonts w:ascii="Calibri" w:eastAsia="Times New Roman" w:hAnsi="Calibri" w:cs="Calibri"/>
          <w:i/>
          <w:iCs/>
          <w:lang w:val="en-US" w:eastAsia="de-DE"/>
        </w:rPr>
        <w:t xml:space="preserve">). This page contains a code of conduct, a GEDC conference speaker statement and a toolkit for conference </w:t>
      </w:r>
      <w:proofErr w:type="spellStart"/>
      <w:r w:rsidRPr="00E11894">
        <w:rPr>
          <w:rFonts w:ascii="Calibri" w:eastAsia="Times New Roman" w:hAnsi="Calibri" w:cs="Calibri"/>
          <w:i/>
          <w:iCs/>
          <w:lang w:val="en-US" w:eastAsia="de-DE"/>
        </w:rPr>
        <w:t>organisers</w:t>
      </w:r>
      <w:proofErr w:type="spellEnd"/>
      <w:r w:rsidRPr="00E11894">
        <w:rPr>
          <w:rFonts w:ascii="Calibri" w:eastAsia="Times New Roman" w:hAnsi="Calibri" w:cs="Calibri"/>
          <w:i/>
          <w:iCs/>
          <w:lang w:val="en-US" w:eastAsia="de-DE"/>
        </w:rPr>
        <w:t>.</w:t>
      </w:r>
    </w:p>
    <w:p w14:paraId="7FB039B2" w14:textId="77777777" w:rsidR="00E11894" w:rsidRDefault="00E11894" w:rsidP="005969E0">
      <w:pPr>
        <w:spacing w:after="0" w:line="360" w:lineRule="auto"/>
        <w:jc w:val="both"/>
        <w:outlineLvl w:val="3"/>
        <w:rPr>
          <w:rFonts w:ascii="Calibri" w:eastAsia="Times New Roman" w:hAnsi="Calibri" w:cs="Calibri"/>
          <w:b/>
          <w:bCs/>
          <w:lang w:val="en-US" w:eastAsia="de-DE"/>
        </w:rPr>
      </w:pPr>
    </w:p>
    <w:p w14:paraId="1CA462F4" w14:textId="176B051F" w:rsidR="005969E0" w:rsidRPr="00E11894" w:rsidRDefault="005969E0" w:rsidP="005969E0">
      <w:pPr>
        <w:spacing w:after="0" w:line="360" w:lineRule="auto"/>
        <w:jc w:val="both"/>
        <w:outlineLvl w:val="3"/>
        <w:rPr>
          <w:rFonts w:ascii="Calibri" w:eastAsia="Times New Roman" w:hAnsi="Calibri" w:cs="Calibri"/>
          <w:b/>
          <w:bCs/>
          <w:lang w:val="en-US" w:eastAsia="de-DE"/>
        </w:rPr>
      </w:pPr>
      <w:r w:rsidRPr="00E11894">
        <w:rPr>
          <w:rFonts w:ascii="Calibri" w:eastAsia="Times New Roman" w:hAnsi="Calibri" w:cs="Calibri"/>
          <w:b/>
          <w:bCs/>
          <w:lang w:val="en-US" w:eastAsia="de-DE"/>
        </w:rPr>
        <w:t>Scientific Freedom Policy Statement</w:t>
      </w:r>
      <w:r w:rsidR="00E11894">
        <w:rPr>
          <w:rFonts w:ascii="Calibri" w:eastAsia="Times New Roman" w:hAnsi="Calibri" w:cs="Calibri"/>
          <w:b/>
          <w:bCs/>
          <w:lang w:val="en-US" w:eastAsia="de-DE"/>
        </w:rPr>
        <w:t xml:space="preserve"> </w:t>
      </w:r>
      <w:r w:rsidR="00E11894" w:rsidRPr="00E11894">
        <w:rPr>
          <w:rFonts w:ascii="Calibri" w:eastAsia="Times New Roman" w:hAnsi="Calibri" w:cs="Calibri"/>
          <w:b/>
          <w:bCs/>
          <w:lang w:val="en-US" w:eastAsia="de-DE"/>
        </w:rPr>
        <w:t>at &lt;event&gt;</w:t>
      </w:r>
    </w:p>
    <w:p w14:paraId="6974EA8D" w14:textId="77777777" w:rsidR="005969E0" w:rsidRPr="005969E0" w:rsidRDefault="005969E0" w:rsidP="005969E0">
      <w:pPr>
        <w:spacing w:after="0" w:line="360" w:lineRule="auto"/>
        <w:jc w:val="both"/>
        <w:rPr>
          <w:rFonts w:ascii="Calibri" w:eastAsia="Times New Roman" w:hAnsi="Calibri" w:cs="Calibri"/>
          <w:lang w:val="en-US" w:eastAsia="de-DE"/>
        </w:rPr>
      </w:pPr>
      <w:r w:rsidRPr="005969E0">
        <w:rPr>
          <w:rFonts w:ascii="Calibri" w:eastAsia="Times New Roman" w:hAnsi="Calibri" w:cs="Calibri"/>
          <w:lang w:val="en-US" w:eastAsia="de-DE"/>
        </w:rPr>
        <w:t>The Organizing Committee of &lt;event&gt; shall observe the basic policy of non-discrimination and affirms the right and freedom of scientists to associate in international scientific activity without regard to such factors as ethnic origin, religion, citizenship, language, political stance, gender, sex or age, in accordance with the Statutes of the International Council for Science. At &lt;event&gt; no barriers will exist which would prevent the participation of bona fide scientists.</w:t>
      </w:r>
    </w:p>
    <w:p w14:paraId="4557211A" w14:textId="77777777" w:rsidR="005969E0" w:rsidRPr="005969E0" w:rsidRDefault="005969E0" w:rsidP="005969E0">
      <w:pPr>
        <w:spacing w:after="0" w:line="360" w:lineRule="auto"/>
        <w:jc w:val="both"/>
        <w:rPr>
          <w:rFonts w:ascii="Calibri" w:eastAsia="Times New Roman" w:hAnsi="Calibri" w:cs="Calibri"/>
          <w:lang w:val="en-US" w:eastAsia="de-DE"/>
        </w:rPr>
      </w:pPr>
    </w:p>
    <w:p w14:paraId="3A9DC247" w14:textId="1AA3C28B" w:rsidR="005969E0" w:rsidRPr="00E11894" w:rsidRDefault="005969E0" w:rsidP="005969E0">
      <w:pPr>
        <w:spacing w:after="0" w:line="360" w:lineRule="auto"/>
        <w:jc w:val="both"/>
        <w:outlineLvl w:val="3"/>
        <w:rPr>
          <w:rFonts w:ascii="Calibri" w:eastAsia="Times New Roman" w:hAnsi="Calibri" w:cs="Calibri"/>
          <w:b/>
          <w:bCs/>
          <w:lang w:val="en-US" w:eastAsia="de-DE"/>
        </w:rPr>
      </w:pPr>
      <w:r w:rsidRPr="00E11894">
        <w:rPr>
          <w:rFonts w:ascii="Calibri" w:eastAsia="Times New Roman" w:hAnsi="Calibri" w:cs="Calibri"/>
          <w:b/>
          <w:bCs/>
          <w:lang w:val="en-US" w:eastAsia="de-DE"/>
        </w:rPr>
        <w:t>Diversity, Equality and Inclusion Statement</w:t>
      </w:r>
      <w:r w:rsidR="00E11894" w:rsidRPr="00E11894">
        <w:rPr>
          <w:rFonts w:ascii="Calibri" w:eastAsia="Times New Roman" w:hAnsi="Calibri" w:cs="Calibri"/>
          <w:b/>
          <w:bCs/>
          <w:lang w:val="en-US" w:eastAsia="de-DE"/>
        </w:rPr>
        <w:t xml:space="preserve"> at &lt;event&gt;</w:t>
      </w:r>
    </w:p>
    <w:p w14:paraId="513303D8" w14:textId="0D7F4FA8" w:rsidR="005969E0" w:rsidRPr="005969E0" w:rsidRDefault="00CF573E" w:rsidP="005969E0">
      <w:pPr>
        <w:spacing w:after="0" w:line="360" w:lineRule="auto"/>
        <w:jc w:val="both"/>
        <w:rPr>
          <w:rFonts w:ascii="Calibri" w:eastAsia="Times New Roman" w:hAnsi="Calibri" w:cs="Calibri"/>
          <w:lang w:val="en-US" w:eastAsia="de-DE"/>
        </w:rPr>
      </w:pPr>
      <w:r w:rsidRPr="005969E0">
        <w:rPr>
          <w:rFonts w:ascii="Calibri" w:eastAsia="Times New Roman" w:hAnsi="Calibri" w:cs="Calibri"/>
          <w:lang w:val="en-US" w:eastAsia="de-DE"/>
        </w:rPr>
        <w:t xml:space="preserve">The </w:t>
      </w:r>
      <w:r>
        <w:rPr>
          <w:rFonts w:ascii="Calibri" w:eastAsia="Times New Roman" w:hAnsi="Calibri" w:cs="Calibri"/>
          <w:lang w:val="en-US" w:eastAsia="de-DE"/>
        </w:rPr>
        <w:t>o</w:t>
      </w:r>
      <w:r w:rsidRPr="005969E0">
        <w:rPr>
          <w:rFonts w:ascii="Calibri" w:eastAsia="Times New Roman" w:hAnsi="Calibri" w:cs="Calibri"/>
          <w:lang w:val="en-US" w:eastAsia="de-DE"/>
        </w:rPr>
        <w:t>rganiz</w:t>
      </w:r>
      <w:r>
        <w:rPr>
          <w:rFonts w:ascii="Calibri" w:eastAsia="Times New Roman" w:hAnsi="Calibri" w:cs="Calibri"/>
          <w:lang w:val="en-US" w:eastAsia="de-DE"/>
        </w:rPr>
        <w:t>ers</w:t>
      </w:r>
      <w:r w:rsidRPr="005969E0">
        <w:rPr>
          <w:rFonts w:ascii="Calibri" w:eastAsia="Times New Roman" w:hAnsi="Calibri" w:cs="Calibri"/>
          <w:lang w:val="en-US" w:eastAsia="de-DE"/>
        </w:rPr>
        <w:t xml:space="preserve"> of &lt;event&gt;</w:t>
      </w:r>
      <w:r w:rsidR="005969E0" w:rsidRPr="005969E0">
        <w:rPr>
          <w:rFonts w:ascii="Calibri" w:eastAsia="Times New Roman" w:hAnsi="Calibri" w:cs="Calibri"/>
          <w:lang w:val="en-US" w:eastAsia="de-DE"/>
        </w:rPr>
        <w:t xml:space="preserve"> welcome all crystallographers and scientists working in related fields, regardless of their ethnic origin, race, citizenship, language, political views, gender, sex, sexual preferences, physical disabilities and age. We strive to create a culture of diversity, equality and inclusion.</w:t>
      </w:r>
    </w:p>
    <w:p w14:paraId="78542259" w14:textId="77777777" w:rsidR="005969E0" w:rsidRPr="005969E0" w:rsidRDefault="005969E0" w:rsidP="00835D58">
      <w:pPr>
        <w:rPr>
          <w:rFonts w:ascii="Calibri" w:hAnsi="Calibri" w:cs="Calibri"/>
          <w:sz w:val="22"/>
          <w:szCs w:val="22"/>
          <w:lang w:val="en-US"/>
        </w:rPr>
      </w:pPr>
    </w:p>
    <w:sectPr w:rsidR="005969E0" w:rsidRPr="005969E0" w:rsidSect="00835D58">
      <w:pgSz w:w="11906" w:h="16838"/>
      <w:pgMar w:top="964" w:right="1134" w:bottom="96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14B42"/>
    <w:multiLevelType w:val="hybridMultilevel"/>
    <w:tmpl w:val="D5E08A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644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58"/>
    <w:rsid w:val="000F495F"/>
    <w:rsid w:val="001772B1"/>
    <w:rsid w:val="001B52ED"/>
    <w:rsid w:val="0022160C"/>
    <w:rsid w:val="00257FC6"/>
    <w:rsid w:val="002C511C"/>
    <w:rsid w:val="005969E0"/>
    <w:rsid w:val="005A237D"/>
    <w:rsid w:val="0066525E"/>
    <w:rsid w:val="0072357F"/>
    <w:rsid w:val="00835D58"/>
    <w:rsid w:val="009738D1"/>
    <w:rsid w:val="00AE1E59"/>
    <w:rsid w:val="00C60CD7"/>
    <w:rsid w:val="00CF573E"/>
    <w:rsid w:val="00CF654D"/>
    <w:rsid w:val="00E11894"/>
    <w:rsid w:val="00F052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799F"/>
  <w15:chartTrackingRefBased/>
  <w15:docId w15:val="{0325820D-E969-4478-ABB1-BB2218B7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D58"/>
    <w:rPr>
      <w:rFonts w:eastAsiaTheme="majorEastAsia" w:cstheme="majorBidi"/>
      <w:color w:val="272727" w:themeColor="text1" w:themeTint="D8"/>
    </w:rPr>
  </w:style>
  <w:style w:type="paragraph" w:styleId="Title">
    <w:name w:val="Title"/>
    <w:basedOn w:val="Normal"/>
    <w:next w:val="Normal"/>
    <w:link w:val="TitleChar"/>
    <w:uiPriority w:val="10"/>
    <w:qFormat/>
    <w:rsid w:val="00835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D58"/>
    <w:pPr>
      <w:spacing w:before="160"/>
      <w:jc w:val="center"/>
    </w:pPr>
    <w:rPr>
      <w:i/>
      <w:iCs/>
      <w:color w:val="404040" w:themeColor="text1" w:themeTint="BF"/>
    </w:rPr>
  </w:style>
  <w:style w:type="character" w:customStyle="1" w:styleId="QuoteChar">
    <w:name w:val="Quote Char"/>
    <w:basedOn w:val="DefaultParagraphFont"/>
    <w:link w:val="Quote"/>
    <w:uiPriority w:val="29"/>
    <w:rsid w:val="00835D58"/>
    <w:rPr>
      <w:i/>
      <w:iCs/>
      <w:color w:val="404040" w:themeColor="text1" w:themeTint="BF"/>
    </w:rPr>
  </w:style>
  <w:style w:type="paragraph" w:styleId="ListParagraph">
    <w:name w:val="List Paragraph"/>
    <w:basedOn w:val="Normal"/>
    <w:uiPriority w:val="34"/>
    <w:qFormat/>
    <w:rsid w:val="00835D58"/>
    <w:pPr>
      <w:ind w:left="720"/>
      <w:contextualSpacing/>
    </w:pPr>
  </w:style>
  <w:style w:type="character" w:styleId="IntenseEmphasis">
    <w:name w:val="Intense Emphasis"/>
    <w:basedOn w:val="DefaultParagraphFont"/>
    <w:uiPriority w:val="21"/>
    <w:qFormat/>
    <w:rsid w:val="00835D58"/>
    <w:rPr>
      <w:i/>
      <w:iCs/>
      <w:color w:val="0F4761" w:themeColor="accent1" w:themeShade="BF"/>
    </w:rPr>
  </w:style>
  <w:style w:type="paragraph" w:styleId="IntenseQuote">
    <w:name w:val="Intense Quote"/>
    <w:basedOn w:val="Normal"/>
    <w:next w:val="Normal"/>
    <w:link w:val="IntenseQuoteChar"/>
    <w:uiPriority w:val="30"/>
    <w:qFormat/>
    <w:rsid w:val="00835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D58"/>
    <w:rPr>
      <w:i/>
      <w:iCs/>
      <w:color w:val="0F4761" w:themeColor="accent1" w:themeShade="BF"/>
    </w:rPr>
  </w:style>
  <w:style w:type="character" w:styleId="IntenseReference">
    <w:name w:val="Intense Reference"/>
    <w:basedOn w:val="DefaultParagraphFont"/>
    <w:uiPriority w:val="32"/>
    <w:qFormat/>
    <w:rsid w:val="00835D58"/>
    <w:rPr>
      <w:b/>
      <w:bCs/>
      <w:smallCaps/>
      <w:color w:val="0F4761" w:themeColor="accent1" w:themeShade="BF"/>
      <w:spacing w:val="5"/>
    </w:rPr>
  </w:style>
  <w:style w:type="table" w:styleId="TableGrid">
    <w:name w:val="Table Grid"/>
    <w:basedOn w:val="TableNormal"/>
    <w:uiPriority w:val="39"/>
    <w:rsid w:val="0059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69E0"/>
    <w:rPr>
      <w:color w:val="0000FF"/>
      <w:u w:val="single"/>
    </w:rPr>
  </w:style>
  <w:style w:type="character" w:styleId="UnresolvedMention">
    <w:name w:val="Unresolved Mention"/>
    <w:basedOn w:val="DefaultParagraphFont"/>
    <w:uiPriority w:val="99"/>
    <w:semiHidden/>
    <w:unhideWhenUsed/>
    <w:rsid w:val="00596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8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cr.org/iucr/governance/advisory-committees/gedc" TargetMode="External"/><Relationship Id="rId5" Type="http://schemas.openxmlformats.org/officeDocument/2006/relationships/hyperlink" Target="https://www.iucr.org/iucr/principles-and-policies/gender-bal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Manfred</dc:creator>
  <cp:keywords/>
  <dc:description/>
  <cp:lastModifiedBy>Harriet Jackson</cp:lastModifiedBy>
  <cp:revision>2</cp:revision>
  <dcterms:created xsi:type="dcterms:W3CDTF">2025-10-01T14:32:00Z</dcterms:created>
  <dcterms:modified xsi:type="dcterms:W3CDTF">2025-10-01T14:32:00Z</dcterms:modified>
</cp:coreProperties>
</file>